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A1962F" w14:textId="77777777" w:rsidR="003B0CDF" w:rsidRPr="003B0CDF" w:rsidRDefault="003B0CDF" w:rsidP="003B0CDF">
      <w:pPr>
        <w:spacing w:before="100" w:beforeAutospacing="1" w:after="100" w:afterAutospacing="1" w:line="360" w:lineRule="auto"/>
        <w:jc w:val="center"/>
        <w:rPr>
          <w:rFonts w:ascii="Arial" w:eastAsia="Times New Roman" w:hAnsi="Arial" w:cs="Arial"/>
          <w:kern w:val="0"/>
          <w14:ligatures w14:val="none"/>
        </w:rPr>
      </w:pPr>
      <w:r w:rsidRPr="003B0CDF">
        <w:rPr>
          <w:rFonts w:ascii="Arial" w:eastAsia="Times New Roman" w:hAnsi="Arial" w:cs="Arial"/>
          <w:b/>
          <w:bCs/>
          <w:kern w:val="0"/>
          <w14:ligatures w14:val="none"/>
        </w:rPr>
        <w:t>Migrantes en primera línea: organizarnos y formarnos políticamente para intervenir en la solución de los problemas de las grandes mayorías populares</w:t>
      </w:r>
    </w:p>
    <w:p w14:paraId="580B672F" w14:textId="77777777" w:rsidR="003B0CDF" w:rsidRPr="003B0CDF" w:rsidRDefault="003B0CDF" w:rsidP="003B0CDF">
      <w:pPr>
        <w:spacing w:before="100" w:beforeAutospacing="1" w:after="100" w:afterAutospacing="1" w:line="360" w:lineRule="auto"/>
        <w:jc w:val="both"/>
        <w:rPr>
          <w:rFonts w:ascii="Arial" w:eastAsia="Times New Roman" w:hAnsi="Arial" w:cs="Arial"/>
          <w:kern w:val="0"/>
          <w14:ligatures w14:val="none"/>
        </w:rPr>
      </w:pPr>
      <w:r w:rsidRPr="003B0CDF">
        <w:rPr>
          <w:rFonts w:ascii="Arial" w:eastAsia="Times New Roman" w:hAnsi="Arial" w:cs="Arial"/>
          <w:kern w:val="0"/>
          <w14:ligatures w14:val="none"/>
        </w:rPr>
        <w:t>La población migrante que vive y trabaja en Argentina se ha consolidado como parte central de la fuerza laboral urbana, con una fuerte concentración en el Área Metropolitana, especialmente en la Ciudad Autónoma de Buenos Aires y en la Provincia de Buenos Aires (INDEC, 2023; Instituto de Estadística y Censos de la Provincia de Buenos Aires [IEPGBA], 2022). Los resultados del Censo Nacional de Población, Hogares y Viviendas 2022 muestran que el 21,7% de las personas migrantes del país reside en la Ciudad de Buenos Aires, mientras que la provincia concentra más de la mitad de la población nacida en otro país que habita en Argentina (INDEC, 2023). Esta distribución territorial ubica a las comunidades migrantes en el corazón de la estructura económica y social, en ciudades donde se concentran la industria, los servicios y el comercio, así como las formas contemporáneas de trabajo precarizado (IEPGBA, 2022).</w:t>
      </w:r>
    </w:p>
    <w:p w14:paraId="4882554F" w14:textId="77777777" w:rsidR="003B0CDF" w:rsidRPr="003B0CDF" w:rsidRDefault="003B0CDF" w:rsidP="003B0CDF">
      <w:pPr>
        <w:spacing w:before="100" w:beforeAutospacing="1" w:after="100" w:afterAutospacing="1" w:line="360" w:lineRule="auto"/>
        <w:jc w:val="both"/>
        <w:rPr>
          <w:rFonts w:ascii="Arial" w:eastAsia="Times New Roman" w:hAnsi="Arial" w:cs="Arial"/>
          <w:kern w:val="0"/>
          <w14:ligatures w14:val="none"/>
        </w:rPr>
      </w:pPr>
      <w:r w:rsidRPr="003B0CDF">
        <w:rPr>
          <w:rFonts w:ascii="Arial" w:eastAsia="Times New Roman" w:hAnsi="Arial" w:cs="Arial"/>
          <w:kern w:val="0"/>
          <w14:ligatures w14:val="none"/>
        </w:rPr>
        <w:t>Diversos estudios sobre movilidad y trabajo señalan que las personas migrantes se insertan principalmente en sectores como la construcción, el trabajo doméstico, el comercio minorista, la agricultura estacional, el trabajo en plataformas digitales y diferentes ramas de servicios, con mayor frecuencia en ocupaciones de baja remuneración y alta rotación (Organización Internacional para las Migraciones [OIM], 2022; Organización Internacional del Trabajo [OIT] &amp; OIM, 2024). En el caso de las mujeres migrantes, la investigación antropológica y sociológica ha subrayado la convergencia entre género, migración y trabajo de cuidado, mostrando cómo la precariedad laboral se articula con la sobrecarga de tareas de cuidado no remunerado en barrios populares de Buenos Aires (Cuadernos del Instituto Nacional de Antropología y Pensamiento Latinoamericano [INAPL], 2024). Estas dinámicas revelan que la población migrante no ocupa un lugar marginal, sino que sostiene con su trabajo una parte decisiva de la vida cotidiana de las grandes mayorías populares.</w:t>
      </w:r>
    </w:p>
    <w:p w14:paraId="4B0F8C5E" w14:textId="77777777" w:rsidR="003B0CDF" w:rsidRPr="003B0CDF" w:rsidRDefault="003B0CDF" w:rsidP="003B0CDF">
      <w:pPr>
        <w:spacing w:before="100" w:beforeAutospacing="1" w:after="100" w:afterAutospacing="1" w:line="360" w:lineRule="auto"/>
        <w:jc w:val="both"/>
        <w:rPr>
          <w:rFonts w:ascii="Arial" w:eastAsia="Times New Roman" w:hAnsi="Arial" w:cs="Arial"/>
          <w:kern w:val="0"/>
          <w14:ligatures w14:val="none"/>
        </w:rPr>
      </w:pPr>
      <w:r w:rsidRPr="003B0CDF">
        <w:rPr>
          <w:rFonts w:ascii="Arial" w:eastAsia="Times New Roman" w:hAnsi="Arial" w:cs="Arial"/>
          <w:kern w:val="0"/>
          <w14:ligatures w14:val="none"/>
        </w:rPr>
        <w:t xml:space="preserve">Los informes sobre trabajo registrado elaborados a partir del Sistema Integrado Previsional Argentino (SIPA) ofrecen un diagnóstico cuantitativo de la evolución reciente del empleo formal en el país (Ministerio de Trabajo, Empleo y Seguridad </w:t>
      </w:r>
      <w:r w:rsidRPr="003B0CDF">
        <w:rPr>
          <w:rFonts w:ascii="Arial" w:eastAsia="Times New Roman" w:hAnsi="Arial" w:cs="Arial"/>
          <w:kern w:val="0"/>
          <w14:ligatures w14:val="none"/>
        </w:rPr>
        <w:lastRenderedPageBreak/>
        <w:t>Social [MTEySS], 2025, 2026). El informe de enero de 2026 indica que la población con trabajo registrado alcanzó los 12,853 millones de personas, ubicándose un 0,3% por debajo del registro del mismo mes del año anterior, lo que marca un leve retroceso interanual (MTEySS, 2026). De ese total, 10,012 millones correspondieron a empleo asalariado registrado —incluyendo sector privado, sector público y trabajo en casas particulares— y 2,841 millones a trabajo independiente, principalmente monotributistas y autónomos (MTEySS, 2026). Esta composición muestra la importancia creciente de formas de trabajo por cuenta propia, muchas veces utilizadas como válvula de escape frente a la contracción del empleo asalariado formal.</w:t>
      </w:r>
    </w:p>
    <w:p w14:paraId="2E88D5BB" w14:textId="77777777" w:rsidR="003B0CDF" w:rsidRPr="003B0CDF" w:rsidRDefault="003B0CDF" w:rsidP="003B0CDF">
      <w:pPr>
        <w:spacing w:before="100" w:beforeAutospacing="1" w:after="100" w:afterAutospacing="1" w:line="360" w:lineRule="auto"/>
        <w:jc w:val="both"/>
        <w:rPr>
          <w:rFonts w:ascii="Arial" w:eastAsia="Times New Roman" w:hAnsi="Arial" w:cs="Arial"/>
          <w:kern w:val="0"/>
          <w14:ligatures w14:val="none"/>
        </w:rPr>
      </w:pPr>
      <w:r w:rsidRPr="003B0CDF">
        <w:rPr>
          <w:rFonts w:ascii="Arial" w:eastAsia="Times New Roman" w:hAnsi="Arial" w:cs="Arial"/>
          <w:kern w:val="0"/>
          <w14:ligatures w14:val="none"/>
        </w:rPr>
        <w:t xml:space="preserve">Si se observa la trayectoria del empleo registrado en años previos, los informes del SIPA y de distintos centros de investigación señalan que, desde finales de 2023 y a lo largo de 2024, el empleo asalariado formal en el sector privado atravesó una fase de destrucción neta, con caídas mensuales promedio cercanas al 0,4% en algunos tramos (MTEySS, 2025; Centro de Economía Política Argentina [CEPA], 2025). El </w:t>
      </w:r>
      <w:r w:rsidRPr="003B0CDF">
        <w:rPr>
          <w:rFonts w:ascii="Arial" w:eastAsia="Times New Roman" w:hAnsi="Arial" w:cs="Arial"/>
          <w:i/>
          <w:iCs/>
          <w:kern w:val="0"/>
          <w14:ligatures w14:val="none"/>
        </w:rPr>
        <w:t>Informe sobre la situación del empleo registrado privado</w:t>
      </w:r>
      <w:r w:rsidRPr="003B0CDF">
        <w:rPr>
          <w:rFonts w:ascii="Arial" w:eastAsia="Times New Roman" w:hAnsi="Arial" w:cs="Arial"/>
          <w:kern w:val="0"/>
          <w14:ligatures w14:val="none"/>
        </w:rPr>
        <w:t xml:space="preserve">, elaborado por CEPA, muestra una tendencia descendente desde 2012, con períodos breves de recuperación seguidos por nuevas recaídas, y destaca que la dinámica reciente se caracteriza por la pérdida de puestos formales en ramas intensivas en mano de obra (CEPA, 2025). Paralelamente, el </w:t>
      </w:r>
      <w:r w:rsidRPr="003B0CDF">
        <w:rPr>
          <w:rFonts w:ascii="Arial" w:eastAsia="Times New Roman" w:hAnsi="Arial" w:cs="Arial"/>
          <w:i/>
          <w:iCs/>
          <w:kern w:val="0"/>
          <w14:ligatures w14:val="none"/>
        </w:rPr>
        <w:t>Panorama del empleo asalariado formal y de las remuneraciones</w:t>
      </w:r>
      <w:r w:rsidRPr="003B0CDF">
        <w:rPr>
          <w:rFonts w:ascii="Arial" w:eastAsia="Times New Roman" w:hAnsi="Arial" w:cs="Arial"/>
          <w:kern w:val="0"/>
          <w14:ligatures w14:val="none"/>
        </w:rPr>
        <w:t xml:space="preserve"> del Instituto Interdisciplinario de Economía Política (EDIL-IIEP) indica que, en junio de 2024, alrededor de 10,14 millones de personas eran trabajadores asalariados registrados, y que las remuneraciones nominales promedio crecieron sin lograr recomponer, en muchos casos, el poder adquisitivo frente a la inflación (EDIL-IIEP, 2024, 2026).</w:t>
      </w:r>
    </w:p>
    <w:p w14:paraId="527C29C5" w14:textId="77777777" w:rsidR="003B0CDF" w:rsidRPr="003B0CDF" w:rsidRDefault="003B0CDF" w:rsidP="003B0CDF">
      <w:pPr>
        <w:spacing w:before="100" w:beforeAutospacing="1" w:after="100" w:afterAutospacing="1" w:line="360" w:lineRule="auto"/>
        <w:jc w:val="both"/>
        <w:rPr>
          <w:rFonts w:ascii="Arial" w:eastAsia="Times New Roman" w:hAnsi="Arial" w:cs="Arial"/>
          <w:kern w:val="0"/>
          <w14:ligatures w14:val="none"/>
        </w:rPr>
      </w:pPr>
      <w:r w:rsidRPr="003B0CDF">
        <w:rPr>
          <w:rFonts w:ascii="Arial" w:eastAsia="Times New Roman" w:hAnsi="Arial" w:cs="Arial"/>
          <w:kern w:val="0"/>
          <w14:ligatures w14:val="none"/>
        </w:rPr>
        <w:t xml:space="preserve">Desde la mirada sindical, esta evolución se vincula directamente con la orientación de la política económica definida por sectores del gobierno como una “economía libertaria”, centrada en la desregulación, la reducción del gasto social y la flexibilización laboral (Central de Trabajadores de la Argentina Autónoma [CTAA], 2024). En un comunicado emblemático, la CTAA sostiene que la economía libertaria “no derrama” empleo formal, sino que empuja a miles de </w:t>
      </w:r>
      <w:r w:rsidRPr="003B0CDF">
        <w:rPr>
          <w:rFonts w:ascii="Arial" w:eastAsia="Times New Roman" w:hAnsi="Arial" w:cs="Arial"/>
          <w:kern w:val="0"/>
          <w14:ligatures w14:val="none"/>
        </w:rPr>
        <w:lastRenderedPageBreak/>
        <w:t>trabajadores hacia el monotributo, el trabajo informal y las plataformas digitales, en un contexto de caída de la calidad del empleo y debilitamiento de la negociación colectiva (CTAA, 2024). Este diagnóstico se ve reforzado por análisis periodísticos que describen el mercado laboral argentino en 2026 como un espacio marcado por tensiones entre productividad, estabilidad y creación de empleo de calidad, con una desaceleración pronunciada del empleo formal en sectores intensivos en mano de obra (Infobae, 2026; La Nación, 2026).</w:t>
      </w:r>
    </w:p>
    <w:p w14:paraId="005B454F" w14:textId="77777777" w:rsidR="003B0CDF" w:rsidRPr="003B0CDF" w:rsidRDefault="003B0CDF" w:rsidP="003B0CDF">
      <w:pPr>
        <w:spacing w:before="100" w:beforeAutospacing="1" w:after="100" w:afterAutospacing="1" w:line="360" w:lineRule="auto"/>
        <w:jc w:val="both"/>
        <w:rPr>
          <w:rFonts w:ascii="Arial" w:eastAsia="Times New Roman" w:hAnsi="Arial" w:cs="Arial"/>
          <w:kern w:val="0"/>
          <w14:ligatures w14:val="none"/>
        </w:rPr>
      </w:pPr>
      <w:r w:rsidRPr="003B0CDF">
        <w:rPr>
          <w:rFonts w:ascii="Arial" w:eastAsia="Times New Roman" w:hAnsi="Arial" w:cs="Arial"/>
          <w:kern w:val="0"/>
          <w14:ligatures w14:val="none"/>
        </w:rPr>
        <w:t>En este marco, la población migrante enfrenta una situación particularmente vulnerable. Los informes de la OIM sobre condiciones de vida y situación laboral de personas migrantes en Argentina indican que las tasas de informalidad laboral entre migrantes son significativamente más altas que entre la población nativa, y que existe una brecha importante en el acceso a aportes previsionales, obras sociales y otras prestaciones ligadas al trabajo registrado (OIM, 2022). El estudio conjunto de OIT y OIM sobre los aportes de la población migrante al mercado laboral argentino subraya que las personas migrantes participan de manera sustantiva en sectores clave de la economía, pero enfrentan mayores obstáculos para acceder al trabajo decente y a la protección social (OIT &amp; OIM, 2024). De esta forma, la combinación de caída del empleo formal, expansión de modalidades precarias y sobrerrepresentación migrante en los segmentos más frágiles de la estructura ocupacional genera una doble vulnerabilidad: económica y jurídica.</w:t>
      </w:r>
    </w:p>
    <w:p w14:paraId="487E99E7" w14:textId="77777777" w:rsidR="003B0CDF" w:rsidRPr="003B0CDF" w:rsidRDefault="003B0CDF" w:rsidP="003B0CDF">
      <w:pPr>
        <w:spacing w:before="100" w:beforeAutospacing="1" w:after="100" w:afterAutospacing="1" w:line="360" w:lineRule="auto"/>
        <w:jc w:val="both"/>
        <w:rPr>
          <w:rFonts w:ascii="Arial" w:eastAsia="Times New Roman" w:hAnsi="Arial" w:cs="Arial"/>
          <w:kern w:val="0"/>
          <w14:ligatures w14:val="none"/>
        </w:rPr>
      </w:pPr>
      <w:r w:rsidRPr="003B0CDF">
        <w:rPr>
          <w:rFonts w:ascii="Arial" w:eastAsia="Times New Roman" w:hAnsi="Arial" w:cs="Arial"/>
          <w:kern w:val="0"/>
          <w14:ligatures w14:val="none"/>
        </w:rPr>
        <w:t xml:space="preserve">A esto se suma que el sistema de seguridad social y los registros administrativos del trabajo dependen estrechamente de la declaración de aportes de empleadores y trabajadores, lo que deja fuera del sistema —y de las estadísticas— a quienes se encuentran en la informalidad (MTEySS, 2025; Argentina.gob.ar, s. f.). Dado que la población migrante tiene una presencia desproporcionada en ocupaciones sin registrar, sus trayectorias laborales quedan subrepresentadas en el SIPA y otros registros, lo que se traduce en menores tasas de jubilación contributiva y de acceso a prestaciones vinculadas al trabajo (OIM, 2022; OIT &amp; OIM, 2024). Al mismo tiempo, la falta de mecanismos ágiles para reconocer aportes realizados en países de origen y las trabas administrativas para la regularización migratoria agravan estas </w:t>
      </w:r>
      <w:r w:rsidRPr="003B0CDF">
        <w:rPr>
          <w:rFonts w:ascii="Arial" w:eastAsia="Times New Roman" w:hAnsi="Arial" w:cs="Arial"/>
          <w:kern w:val="0"/>
          <w14:ligatures w14:val="none"/>
        </w:rPr>
        <w:lastRenderedPageBreak/>
        <w:t>exclusiones (Dirección Nacional de Migraciones, 2021; Red de Investigaciones en Ciudadanía [Redic], 2024).</w:t>
      </w:r>
    </w:p>
    <w:p w14:paraId="3BE30138" w14:textId="77777777" w:rsidR="003B0CDF" w:rsidRPr="003B0CDF" w:rsidRDefault="003B0CDF" w:rsidP="003B0CDF">
      <w:pPr>
        <w:spacing w:before="100" w:beforeAutospacing="1" w:after="100" w:afterAutospacing="1" w:line="360" w:lineRule="auto"/>
        <w:jc w:val="both"/>
        <w:rPr>
          <w:rFonts w:ascii="Arial" w:eastAsia="Times New Roman" w:hAnsi="Arial" w:cs="Arial"/>
          <w:kern w:val="0"/>
          <w14:ligatures w14:val="none"/>
        </w:rPr>
      </w:pPr>
      <w:r w:rsidRPr="003B0CDF">
        <w:rPr>
          <w:rFonts w:ascii="Arial" w:eastAsia="Times New Roman" w:hAnsi="Arial" w:cs="Arial"/>
          <w:kern w:val="0"/>
          <w14:ligatures w14:val="none"/>
        </w:rPr>
        <w:t>Si se incorpora a este diagnóstico la dimensión política y sindical, se advierte que, aun cuando se amplían algunos derechos formales de participación —por ejemplo, el voto en instancias locales o la posibilidad de integrar consejos consultivos—, la presencia efectiva de personas migrantes en sindicatos, organizaciones sociales y espacios de decisión sigue siendo limitada (Redic, 2024; Revista Jurídica del Trabajo, s. f.). Investigaciones sobre migración y participación política en América Latina muestran que el miedo a la deportación, la inseguridad laboral, las barreras idiomáticas y culturales, y la ausencia de políticas de inclusión activa en estructuras sindicales dificultan la incorporación de la agenda migrante a la agenda general de las mayorías populares (Scielo México, 2010). A la vez, mapeos de organizaciones migrantes en Argentina describen un entramado diverso de asociaciones de residentes, colectivos culturales y redes de apoyo mutuo, pero con escasos vínculos orgánicos con el movimiento obrero organizado y las centrales sindicales (Refugio Latinoamericano, 2024; CLACSO, 2023).</w:t>
      </w:r>
    </w:p>
    <w:p w14:paraId="0EB2A274" w14:textId="77777777" w:rsidR="003B0CDF" w:rsidRPr="003B0CDF" w:rsidRDefault="003B0CDF" w:rsidP="003B0CDF">
      <w:pPr>
        <w:spacing w:before="100" w:beforeAutospacing="1" w:after="100" w:afterAutospacing="1" w:line="360" w:lineRule="auto"/>
        <w:jc w:val="both"/>
        <w:rPr>
          <w:rFonts w:ascii="Arial" w:eastAsia="Times New Roman" w:hAnsi="Arial" w:cs="Arial"/>
          <w:kern w:val="0"/>
          <w14:ligatures w14:val="none"/>
        </w:rPr>
      </w:pPr>
      <w:r w:rsidRPr="003B0CDF">
        <w:rPr>
          <w:rFonts w:ascii="Arial" w:eastAsia="Times New Roman" w:hAnsi="Arial" w:cs="Arial"/>
          <w:kern w:val="0"/>
          <w14:ligatures w14:val="none"/>
        </w:rPr>
        <w:t>La articulación de estos elementos —estadísticas de empleo registrado, estudios sobre informalidad, análisis sindical de la economía libertaria y trabajos sobre participación política migrante— permite una lectura clara: la población migrante forma parte de la columna vertebral del trabajo en Argentina, pero se ubica de manera sistemática en los escalones más precarizados y menos protegidos del sistema (MTEySS, 2026; OIM, 2022; OIT &amp; OIM, 2024). La desorganización y el aislamiento de las personas migrantes se convierten así en condiciones funcionales a la reproducción de la explotación y de la desigualdad, al mismo tiempo que permiten la utilización de discursos xenófobos para dividir a la clase trabajadora y desviar la atención de las causas estructurales de la crisis (CTAA, 2024; CLACSO, 2023).</w:t>
      </w:r>
    </w:p>
    <w:p w14:paraId="760EFF33" w14:textId="77777777" w:rsidR="003B0CDF" w:rsidRPr="003B0CDF" w:rsidRDefault="003B0CDF" w:rsidP="003B0CDF">
      <w:pPr>
        <w:spacing w:before="100" w:beforeAutospacing="1" w:after="100" w:afterAutospacing="1" w:line="360" w:lineRule="auto"/>
        <w:jc w:val="both"/>
        <w:rPr>
          <w:rFonts w:ascii="Arial" w:eastAsia="Times New Roman" w:hAnsi="Arial" w:cs="Arial"/>
          <w:kern w:val="0"/>
          <w14:ligatures w14:val="none"/>
        </w:rPr>
      </w:pPr>
      <w:r w:rsidRPr="003B0CDF">
        <w:rPr>
          <w:rFonts w:ascii="Arial" w:eastAsia="Times New Roman" w:hAnsi="Arial" w:cs="Arial"/>
          <w:kern w:val="0"/>
          <w14:ligatures w14:val="none"/>
        </w:rPr>
        <w:t xml:space="preserve">Frente a este panorama, la organización migrante deja de ser un deseo abstracto y se transforma en una necesidad estratégica. Organizarse implica construir espacios colectivos en los que las personas migrantes puedan elaborar diagnósticos propios sobre su inserción laboral y su acceso a derechos, a partir </w:t>
      </w:r>
      <w:r w:rsidRPr="003B0CDF">
        <w:rPr>
          <w:rFonts w:ascii="Arial" w:eastAsia="Times New Roman" w:hAnsi="Arial" w:cs="Arial"/>
          <w:kern w:val="0"/>
          <w14:ligatures w14:val="none"/>
        </w:rPr>
        <w:lastRenderedPageBreak/>
        <w:t>de su experiencia cotidiana y de la lectura crítica de las estadísticas oficiales (Refugio Latinoamericano, 2024; CLACSO, 2023). Supone impulsar comisiones de migrantes dentro de los sindicatos, articular asociaciones migrantes con movimientos barriales, feministas y de derechos humanos, y consolidar redes regionales de organizaciones migrantes que permitan compartir información, coordinar acciones y ejercer presión conjunta sobre Estados y organismos internacionales (Scielo México, 2010; CLACSO, 2023).</w:t>
      </w:r>
    </w:p>
    <w:p w14:paraId="3861372C" w14:textId="77777777" w:rsidR="003B0CDF" w:rsidRPr="003B0CDF" w:rsidRDefault="003B0CDF" w:rsidP="003B0CDF">
      <w:pPr>
        <w:spacing w:before="100" w:beforeAutospacing="1" w:after="100" w:afterAutospacing="1" w:line="360" w:lineRule="auto"/>
        <w:jc w:val="both"/>
        <w:rPr>
          <w:rFonts w:ascii="Arial" w:eastAsia="Times New Roman" w:hAnsi="Arial" w:cs="Arial"/>
          <w:kern w:val="0"/>
          <w14:ligatures w14:val="none"/>
        </w:rPr>
      </w:pPr>
      <w:r w:rsidRPr="003B0CDF">
        <w:rPr>
          <w:rFonts w:ascii="Arial" w:eastAsia="Times New Roman" w:hAnsi="Arial" w:cs="Arial"/>
          <w:kern w:val="0"/>
          <w14:ligatures w14:val="none"/>
        </w:rPr>
        <w:t>Junto con la organización, es imprescindible la formación política migrante. La lectura y discusión de los informes del SIPA, de los estudios del EDIL y de las investigaciones de la OIM y la OIT debe convertirse en práctica regular en nuestras organizaciones, no como ejercicio técnico aislado, sino como herramienta para comprender el modelo económico que nos precariza (MTEySS, 2025, 2026; EDIL-IIEP, 2024; OIT &amp; OIM, 2024). Formarse políticamente implica aprender a interpretar las cifras de empleo registrado, las tendencias de destrucción y creación de puestos, las variaciones en las remuneraciones, las tasas de informalidad y las brechas en el acceso a la seguridad social, con el fin de argumentar, negociar y disputar políticas públicas en condiciones de mayor igualdad (INDEC, 2023; CEPA, 2025). Significa, también, apropiarse de la historia de las luchas obreras y migrantes en el país y en la región, para nutrir las estrategias actuales con experiencias acumuladas de resistencia y construcción (Scielo México, 2010; CLACSO, 2023).</w:t>
      </w:r>
    </w:p>
    <w:p w14:paraId="048E5F57" w14:textId="77777777" w:rsidR="003B0CDF" w:rsidRPr="003B0CDF" w:rsidRDefault="003B0CDF" w:rsidP="003B0CDF">
      <w:pPr>
        <w:spacing w:before="100" w:beforeAutospacing="1" w:after="100" w:afterAutospacing="1" w:line="360" w:lineRule="auto"/>
        <w:jc w:val="both"/>
        <w:rPr>
          <w:rFonts w:ascii="Arial" w:eastAsia="Times New Roman" w:hAnsi="Arial" w:cs="Arial"/>
          <w:kern w:val="0"/>
          <w14:ligatures w14:val="none"/>
        </w:rPr>
      </w:pPr>
      <w:r w:rsidRPr="003B0CDF">
        <w:rPr>
          <w:rFonts w:ascii="Arial" w:eastAsia="Times New Roman" w:hAnsi="Arial" w:cs="Arial"/>
          <w:kern w:val="0"/>
          <w14:ligatures w14:val="none"/>
        </w:rPr>
        <w:t>Con este diagnóstico, el llamado es directo. A la población migrante que trabaja en construcción, en casas particulares, en comercio, en agricultura, en plataformas y en economía popular: la crisis del empleo formal y el avance de la economía libertaria no son un destino inevitable, son el resultado de decisiones políticas y empresariales que pueden ser confrontadas (CTAA, 2024; Infobae, 2026). Para hacerlo, necesitamos organizarnos y formarnos. Necesitamos que nuestra presencia numérica y económica se traduzca en presencia política y sindical, en capacidad de incidir en negociaciones colectivas, en debates sobre reforma laboral y previsional, y en la construcción de políticas migratorias que reconozcan plenamente nuestros derechos (OIT &amp; OIM, 2024; Redic, 2024).</w:t>
      </w:r>
    </w:p>
    <w:p w14:paraId="64EC439A" w14:textId="77777777" w:rsidR="003B0CDF" w:rsidRPr="003B0CDF" w:rsidRDefault="003B0CDF" w:rsidP="003B0CDF">
      <w:pPr>
        <w:spacing w:before="100" w:beforeAutospacing="1" w:after="100" w:afterAutospacing="1" w:line="360" w:lineRule="auto"/>
        <w:jc w:val="both"/>
        <w:rPr>
          <w:rFonts w:ascii="Arial" w:eastAsia="Times New Roman" w:hAnsi="Arial" w:cs="Arial"/>
          <w:kern w:val="0"/>
          <w14:ligatures w14:val="none"/>
        </w:rPr>
      </w:pPr>
      <w:r w:rsidRPr="003B0CDF">
        <w:rPr>
          <w:rFonts w:ascii="Arial" w:eastAsia="Times New Roman" w:hAnsi="Arial" w:cs="Arial"/>
          <w:kern w:val="0"/>
          <w14:ligatures w14:val="none"/>
        </w:rPr>
        <w:lastRenderedPageBreak/>
        <w:t>Migrar no significa renunciar al derecho de participar en la definición de las condiciones de trabajo y de vida; por el contrario, la magnitud de nuestra presencia en el mercado laboral y en los territorios urbanos nos otorga legitimidad para reclamar voz y voto en toda discusión sobre empleo, seguridad social y políticas públicas (INDEC, 2023; OIT &amp; OIM, 2024). La combinación de organización y formación política es la herramienta que puede convertir los datos estadísticos —que ya muestran nuestra centralidad— en fuerza política capaz de disputar el rumbo de la economía y de asegurar que la población migrante participe activamente en la solución de los problemas que atraviesan a las grandes mayorías populares, nativas y migrantes (CLACSO, 2023; Refugio Latinoamericano, 2024).</w:t>
      </w:r>
    </w:p>
    <w:p w14:paraId="56EA5139" w14:textId="084A6193" w:rsidR="003B0CDF" w:rsidRPr="003B0CDF" w:rsidRDefault="003B0CDF" w:rsidP="003B0CDF">
      <w:pPr>
        <w:spacing w:after="0" w:line="360" w:lineRule="auto"/>
        <w:jc w:val="both"/>
        <w:rPr>
          <w:rFonts w:ascii="Times New Roman" w:eastAsia="Times New Roman" w:hAnsi="Times New Roman" w:cs="Times New Roman"/>
          <w:kern w:val="0"/>
          <w14:ligatures w14:val="none"/>
        </w:rPr>
      </w:pPr>
    </w:p>
    <w:p w14:paraId="763ACF38" w14:textId="288DF389" w:rsidR="003B0CDF" w:rsidRPr="003B0CDF" w:rsidRDefault="003B0CDF" w:rsidP="003B0CDF">
      <w:pPr>
        <w:spacing w:before="100" w:beforeAutospacing="1" w:after="100" w:afterAutospacing="1" w:line="240" w:lineRule="auto"/>
        <w:jc w:val="both"/>
        <w:outlineLvl w:val="1"/>
        <w:rPr>
          <w:rFonts w:ascii="Arial" w:eastAsia="Times New Roman" w:hAnsi="Arial" w:cs="Arial"/>
          <w:b/>
          <w:bCs/>
          <w:kern w:val="0"/>
          <w14:ligatures w14:val="none"/>
        </w:rPr>
      </w:pPr>
      <w:r w:rsidRPr="003B0CDF">
        <w:rPr>
          <w:rFonts w:ascii="Arial" w:eastAsia="Times New Roman" w:hAnsi="Arial" w:cs="Arial"/>
          <w:b/>
          <w:bCs/>
          <w:kern w:val="0"/>
          <w14:ligatures w14:val="none"/>
        </w:rPr>
        <w:t xml:space="preserve">Referencias </w:t>
      </w:r>
    </w:p>
    <w:p w14:paraId="492C9D8A" w14:textId="77777777" w:rsidR="003B0CDF" w:rsidRPr="003B0CDF" w:rsidRDefault="003B0CDF" w:rsidP="003B0CDF">
      <w:pPr>
        <w:spacing w:before="100" w:beforeAutospacing="1" w:after="100" w:afterAutospacing="1" w:line="360" w:lineRule="auto"/>
        <w:ind w:left="720" w:hanging="720"/>
        <w:jc w:val="both"/>
        <w:rPr>
          <w:rFonts w:ascii="Arial" w:eastAsia="Times New Roman" w:hAnsi="Arial" w:cs="Arial"/>
          <w:kern w:val="0"/>
          <w14:ligatures w14:val="none"/>
        </w:rPr>
      </w:pPr>
      <w:r w:rsidRPr="003B0CDF">
        <w:rPr>
          <w:rFonts w:ascii="Arial" w:eastAsia="Times New Roman" w:hAnsi="Arial" w:cs="Arial"/>
          <w:kern w:val="0"/>
          <w14:ligatures w14:val="none"/>
        </w:rPr>
        <w:t xml:space="preserve">Argentina.gob.ar. (s. f.). </w:t>
      </w:r>
      <w:r w:rsidRPr="003B0CDF">
        <w:rPr>
          <w:rFonts w:ascii="Arial" w:eastAsia="Times New Roman" w:hAnsi="Arial" w:cs="Arial"/>
          <w:i/>
          <w:iCs/>
          <w:kern w:val="0"/>
          <w14:ligatures w14:val="none"/>
        </w:rPr>
        <w:t>Estudios y estadísticas laborales</w:t>
      </w:r>
      <w:r w:rsidRPr="003B0CDF">
        <w:rPr>
          <w:rFonts w:ascii="Arial" w:eastAsia="Times New Roman" w:hAnsi="Arial" w:cs="Arial"/>
          <w:kern w:val="0"/>
          <w14:ligatures w14:val="none"/>
        </w:rPr>
        <w:t>. Ministerio de Trabajo, Empleo y Seguridad Social.</w:t>
      </w:r>
    </w:p>
    <w:p w14:paraId="4FA49D42" w14:textId="77777777" w:rsidR="003B0CDF" w:rsidRPr="003B0CDF" w:rsidRDefault="003B0CDF" w:rsidP="003B0CDF">
      <w:pPr>
        <w:spacing w:before="100" w:beforeAutospacing="1" w:after="100" w:afterAutospacing="1" w:line="360" w:lineRule="auto"/>
        <w:ind w:left="720" w:hanging="720"/>
        <w:jc w:val="both"/>
        <w:rPr>
          <w:rFonts w:ascii="Arial" w:eastAsia="Times New Roman" w:hAnsi="Arial" w:cs="Arial"/>
          <w:kern w:val="0"/>
          <w14:ligatures w14:val="none"/>
        </w:rPr>
      </w:pPr>
      <w:r w:rsidRPr="003B0CDF">
        <w:rPr>
          <w:rFonts w:ascii="Arial" w:eastAsia="Times New Roman" w:hAnsi="Arial" w:cs="Arial"/>
          <w:kern w:val="0"/>
          <w14:ligatures w14:val="none"/>
        </w:rPr>
        <w:t xml:space="preserve">CEPA. (2025). </w:t>
      </w:r>
      <w:r w:rsidRPr="003B0CDF">
        <w:rPr>
          <w:rFonts w:ascii="Arial" w:eastAsia="Times New Roman" w:hAnsi="Arial" w:cs="Arial"/>
          <w:i/>
          <w:iCs/>
          <w:kern w:val="0"/>
          <w14:ligatures w14:val="none"/>
        </w:rPr>
        <w:t>Análisis sobre la situación del empleo registrado privado. Datos a abril 2025</w:t>
      </w:r>
      <w:r w:rsidRPr="003B0CDF">
        <w:rPr>
          <w:rFonts w:ascii="Arial" w:eastAsia="Times New Roman" w:hAnsi="Arial" w:cs="Arial"/>
          <w:kern w:val="0"/>
          <w14:ligatures w14:val="none"/>
        </w:rPr>
        <w:t>. Centro de Economía Política Argentina.</w:t>
      </w:r>
    </w:p>
    <w:p w14:paraId="7931DCEB" w14:textId="77777777" w:rsidR="003B0CDF" w:rsidRPr="003B0CDF" w:rsidRDefault="003B0CDF" w:rsidP="003B0CDF">
      <w:pPr>
        <w:spacing w:before="100" w:beforeAutospacing="1" w:after="100" w:afterAutospacing="1" w:line="360" w:lineRule="auto"/>
        <w:ind w:left="720" w:hanging="720"/>
        <w:jc w:val="both"/>
        <w:rPr>
          <w:rFonts w:ascii="Arial" w:eastAsia="Times New Roman" w:hAnsi="Arial" w:cs="Arial"/>
          <w:kern w:val="0"/>
          <w14:ligatures w14:val="none"/>
        </w:rPr>
      </w:pPr>
      <w:r w:rsidRPr="003B0CDF">
        <w:rPr>
          <w:rFonts w:ascii="Arial" w:eastAsia="Times New Roman" w:hAnsi="Arial" w:cs="Arial"/>
          <w:kern w:val="0"/>
          <w14:ligatures w14:val="none"/>
        </w:rPr>
        <w:t xml:space="preserve">CLACSO. (2023). </w:t>
      </w:r>
      <w:r w:rsidRPr="003B0CDF">
        <w:rPr>
          <w:rFonts w:ascii="Arial" w:eastAsia="Times New Roman" w:hAnsi="Arial" w:cs="Arial"/>
          <w:i/>
          <w:iCs/>
          <w:kern w:val="0"/>
          <w14:ligatures w14:val="none"/>
        </w:rPr>
        <w:t>Migración, Estado y políticas: dinámicas de los movimientos y organizaciones de migrantes y respuestas gubernamentales</w:t>
      </w:r>
      <w:r w:rsidRPr="003B0CDF">
        <w:rPr>
          <w:rFonts w:ascii="Arial" w:eastAsia="Times New Roman" w:hAnsi="Arial" w:cs="Arial"/>
          <w:kern w:val="0"/>
          <w14:ligatures w14:val="none"/>
        </w:rPr>
        <w:t>. Consejo Latinoamericano de Ciencias Sociales.</w:t>
      </w:r>
    </w:p>
    <w:p w14:paraId="08F50B73" w14:textId="77777777" w:rsidR="003B0CDF" w:rsidRPr="003B0CDF" w:rsidRDefault="003B0CDF" w:rsidP="003B0CDF">
      <w:pPr>
        <w:spacing w:before="100" w:beforeAutospacing="1" w:after="100" w:afterAutospacing="1" w:line="360" w:lineRule="auto"/>
        <w:ind w:left="720" w:hanging="720"/>
        <w:jc w:val="both"/>
        <w:rPr>
          <w:rFonts w:ascii="Arial" w:eastAsia="Times New Roman" w:hAnsi="Arial" w:cs="Arial"/>
          <w:kern w:val="0"/>
          <w14:ligatures w14:val="none"/>
        </w:rPr>
      </w:pPr>
      <w:r w:rsidRPr="003B0CDF">
        <w:rPr>
          <w:rFonts w:ascii="Arial" w:eastAsia="Times New Roman" w:hAnsi="Arial" w:cs="Arial"/>
          <w:kern w:val="0"/>
          <w14:ligatures w14:val="none"/>
        </w:rPr>
        <w:t xml:space="preserve">CTAA. (2024). </w:t>
      </w:r>
      <w:r w:rsidRPr="003B0CDF">
        <w:rPr>
          <w:rFonts w:ascii="Arial" w:eastAsia="Times New Roman" w:hAnsi="Arial" w:cs="Arial"/>
          <w:i/>
          <w:iCs/>
          <w:kern w:val="0"/>
          <w14:ligatures w14:val="none"/>
        </w:rPr>
        <w:t>La economía libertaria no derrama: el empleo formal en caída libre</w:t>
      </w:r>
      <w:r w:rsidRPr="003B0CDF">
        <w:rPr>
          <w:rFonts w:ascii="Arial" w:eastAsia="Times New Roman" w:hAnsi="Arial" w:cs="Arial"/>
          <w:kern w:val="0"/>
          <w14:ligatures w14:val="none"/>
        </w:rPr>
        <w:t>. Central de Trabajadores de la Argentina Autónoma.</w:t>
      </w:r>
    </w:p>
    <w:p w14:paraId="3BC4F9CB" w14:textId="77777777" w:rsidR="003B0CDF" w:rsidRPr="003B0CDF" w:rsidRDefault="003B0CDF" w:rsidP="003B0CDF">
      <w:pPr>
        <w:spacing w:before="100" w:beforeAutospacing="1" w:after="100" w:afterAutospacing="1" w:line="360" w:lineRule="auto"/>
        <w:ind w:left="720" w:hanging="720"/>
        <w:jc w:val="both"/>
        <w:rPr>
          <w:rFonts w:ascii="Arial" w:eastAsia="Times New Roman" w:hAnsi="Arial" w:cs="Arial"/>
          <w:kern w:val="0"/>
          <w14:ligatures w14:val="none"/>
        </w:rPr>
      </w:pPr>
      <w:r w:rsidRPr="003B0CDF">
        <w:rPr>
          <w:rFonts w:ascii="Arial" w:eastAsia="Times New Roman" w:hAnsi="Arial" w:cs="Arial"/>
          <w:kern w:val="0"/>
          <w14:ligatures w14:val="none"/>
        </w:rPr>
        <w:t xml:space="preserve">Cuadernos INAPL. (2024). Género, migración y trabajo: Formas de (des)cuidado en las trayectorias de mujeres migrantes del barrio Rodrigo Bueno. </w:t>
      </w:r>
      <w:r w:rsidRPr="003B0CDF">
        <w:rPr>
          <w:rFonts w:ascii="Arial" w:eastAsia="Times New Roman" w:hAnsi="Arial" w:cs="Arial"/>
          <w:i/>
          <w:iCs/>
          <w:kern w:val="0"/>
          <w14:ligatures w14:val="none"/>
        </w:rPr>
        <w:t>Cuadernos del Instituto Nacional de Antropología y Pensamiento Latinoamericano, 33</w:t>
      </w:r>
      <w:r w:rsidRPr="003B0CDF">
        <w:rPr>
          <w:rFonts w:ascii="Arial" w:eastAsia="Times New Roman" w:hAnsi="Arial" w:cs="Arial"/>
          <w:kern w:val="0"/>
          <w14:ligatures w14:val="none"/>
        </w:rPr>
        <w:t>(2), 78–98.</w:t>
      </w:r>
    </w:p>
    <w:p w14:paraId="0EAFB15F" w14:textId="77777777" w:rsidR="003B0CDF" w:rsidRPr="003B0CDF" w:rsidRDefault="003B0CDF" w:rsidP="003B0CDF">
      <w:pPr>
        <w:spacing w:before="100" w:beforeAutospacing="1" w:after="100" w:afterAutospacing="1" w:line="360" w:lineRule="auto"/>
        <w:ind w:left="720" w:hanging="720"/>
        <w:jc w:val="both"/>
        <w:rPr>
          <w:rFonts w:ascii="Arial" w:eastAsia="Times New Roman" w:hAnsi="Arial" w:cs="Arial"/>
          <w:kern w:val="0"/>
          <w14:ligatures w14:val="none"/>
        </w:rPr>
      </w:pPr>
      <w:r w:rsidRPr="003B0CDF">
        <w:rPr>
          <w:rFonts w:ascii="Arial" w:eastAsia="Times New Roman" w:hAnsi="Arial" w:cs="Arial"/>
          <w:kern w:val="0"/>
          <w14:ligatures w14:val="none"/>
        </w:rPr>
        <w:t xml:space="preserve">Dirección Nacional de Migraciones. (2021). </w:t>
      </w:r>
      <w:r w:rsidRPr="003B0CDF">
        <w:rPr>
          <w:rFonts w:ascii="Arial" w:eastAsia="Times New Roman" w:hAnsi="Arial" w:cs="Arial"/>
          <w:i/>
          <w:iCs/>
          <w:kern w:val="0"/>
          <w14:ligatures w14:val="none"/>
        </w:rPr>
        <w:t>Informe anual sobre política migratoria y regularización documental</w:t>
      </w:r>
      <w:r w:rsidRPr="003B0CDF">
        <w:rPr>
          <w:rFonts w:ascii="Arial" w:eastAsia="Times New Roman" w:hAnsi="Arial" w:cs="Arial"/>
          <w:kern w:val="0"/>
          <w14:ligatures w14:val="none"/>
        </w:rPr>
        <w:t>. Ministerio del Interior.</w:t>
      </w:r>
    </w:p>
    <w:p w14:paraId="05344E13" w14:textId="77777777" w:rsidR="003B0CDF" w:rsidRPr="003B0CDF" w:rsidRDefault="003B0CDF" w:rsidP="003B0CDF">
      <w:pPr>
        <w:spacing w:before="100" w:beforeAutospacing="1" w:after="100" w:afterAutospacing="1" w:line="360" w:lineRule="auto"/>
        <w:ind w:left="720" w:hanging="720"/>
        <w:jc w:val="both"/>
        <w:rPr>
          <w:rFonts w:ascii="Arial" w:eastAsia="Times New Roman" w:hAnsi="Arial" w:cs="Arial"/>
          <w:kern w:val="0"/>
          <w14:ligatures w14:val="none"/>
        </w:rPr>
      </w:pPr>
      <w:r w:rsidRPr="003B0CDF">
        <w:rPr>
          <w:rFonts w:ascii="Arial" w:eastAsia="Times New Roman" w:hAnsi="Arial" w:cs="Arial"/>
          <w:kern w:val="0"/>
          <w14:ligatures w14:val="none"/>
        </w:rPr>
        <w:lastRenderedPageBreak/>
        <w:t xml:space="preserve">EDIL-IIEP. (2024). </w:t>
      </w:r>
      <w:r w:rsidRPr="003B0CDF">
        <w:rPr>
          <w:rFonts w:ascii="Arial" w:eastAsia="Times New Roman" w:hAnsi="Arial" w:cs="Arial"/>
          <w:i/>
          <w:iCs/>
          <w:kern w:val="0"/>
          <w14:ligatures w14:val="none"/>
        </w:rPr>
        <w:t xml:space="preserve">Panorama del empleo asalariado formal y de las remuneraciones – </w:t>
      </w:r>
      <w:proofErr w:type="gramStart"/>
      <w:r w:rsidRPr="003B0CDF">
        <w:rPr>
          <w:rFonts w:ascii="Arial" w:eastAsia="Times New Roman" w:hAnsi="Arial" w:cs="Arial"/>
          <w:i/>
          <w:iCs/>
          <w:kern w:val="0"/>
          <w14:ligatures w14:val="none"/>
        </w:rPr>
        <w:t>Junio</w:t>
      </w:r>
      <w:proofErr w:type="gramEnd"/>
      <w:r w:rsidRPr="003B0CDF">
        <w:rPr>
          <w:rFonts w:ascii="Arial" w:eastAsia="Times New Roman" w:hAnsi="Arial" w:cs="Arial"/>
          <w:i/>
          <w:iCs/>
          <w:kern w:val="0"/>
          <w14:ligatures w14:val="none"/>
        </w:rPr>
        <w:t xml:space="preserve"> 2024</w:t>
      </w:r>
      <w:r w:rsidRPr="003B0CDF">
        <w:rPr>
          <w:rFonts w:ascii="Arial" w:eastAsia="Times New Roman" w:hAnsi="Arial" w:cs="Arial"/>
          <w:kern w:val="0"/>
          <w14:ligatures w14:val="none"/>
        </w:rPr>
        <w:t>. Instituto Interdisciplinario de Economía Política, Facultad de Ciencias Económicas, Universidad de Buenos Aires.</w:t>
      </w:r>
    </w:p>
    <w:p w14:paraId="42A3EA19" w14:textId="77777777" w:rsidR="003B0CDF" w:rsidRPr="003B0CDF" w:rsidRDefault="003B0CDF" w:rsidP="003B0CDF">
      <w:pPr>
        <w:spacing w:before="100" w:beforeAutospacing="1" w:after="100" w:afterAutospacing="1" w:line="360" w:lineRule="auto"/>
        <w:ind w:left="720" w:hanging="720"/>
        <w:jc w:val="both"/>
        <w:rPr>
          <w:rFonts w:ascii="Arial" w:eastAsia="Times New Roman" w:hAnsi="Arial" w:cs="Arial"/>
          <w:kern w:val="0"/>
          <w14:ligatures w14:val="none"/>
        </w:rPr>
      </w:pPr>
      <w:r w:rsidRPr="003B0CDF">
        <w:rPr>
          <w:rFonts w:ascii="Arial" w:eastAsia="Times New Roman" w:hAnsi="Arial" w:cs="Arial"/>
          <w:kern w:val="0"/>
          <w14:ligatures w14:val="none"/>
        </w:rPr>
        <w:t xml:space="preserve">EDIL-IIEP. (2026). </w:t>
      </w:r>
      <w:r w:rsidRPr="003B0CDF">
        <w:rPr>
          <w:rFonts w:ascii="Arial" w:eastAsia="Times New Roman" w:hAnsi="Arial" w:cs="Arial"/>
          <w:i/>
          <w:iCs/>
          <w:kern w:val="0"/>
          <w14:ligatures w14:val="none"/>
        </w:rPr>
        <w:t xml:space="preserve">Panorama del empleo asalariado formal y de las remuneraciones – </w:t>
      </w:r>
      <w:proofErr w:type="gramStart"/>
      <w:r w:rsidRPr="003B0CDF">
        <w:rPr>
          <w:rFonts w:ascii="Arial" w:eastAsia="Times New Roman" w:hAnsi="Arial" w:cs="Arial"/>
          <w:i/>
          <w:iCs/>
          <w:kern w:val="0"/>
          <w14:ligatures w14:val="none"/>
        </w:rPr>
        <w:t>Diciembre</w:t>
      </w:r>
      <w:proofErr w:type="gramEnd"/>
      <w:r w:rsidRPr="003B0CDF">
        <w:rPr>
          <w:rFonts w:ascii="Arial" w:eastAsia="Times New Roman" w:hAnsi="Arial" w:cs="Arial"/>
          <w:i/>
          <w:iCs/>
          <w:kern w:val="0"/>
          <w14:ligatures w14:val="none"/>
        </w:rPr>
        <w:t xml:space="preserve"> 2025</w:t>
      </w:r>
      <w:r w:rsidRPr="003B0CDF">
        <w:rPr>
          <w:rFonts w:ascii="Arial" w:eastAsia="Times New Roman" w:hAnsi="Arial" w:cs="Arial"/>
          <w:kern w:val="0"/>
          <w14:ligatures w14:val="none"/>
        </w:rPr>
        <w:t>. Instituto Interdisciplinario de Economía Política, Facultad de Ciencias Económicas, Universidad de Buenos Aires.</w:t>
      </w:r>
    </w:p>
    <w:p w14:paraId="25588797" w14:textId="77777777" w:rsidR="003B0CDF" w:rsidRPr="003B0CDF" w:rsidRDefault="003B0CDF" w:rsidP="003B0CDF">
      <w:pPr>
        <w:spacing w:before="100" w:beforeAutospacing="1" w:after="100" w:afterAutospacing="1" w:line="360" w:lineRule="auto"/>
        <w:ind w:left="720" w:hanging="720"/>
        <w:jc w:val="both"/>
        <w:rPr>
          <w:rFonts w:ascii="Arial" w:eastAsia="Times New Roman" w:hAnsi="Arial" w:cs="Arial"/>
          <w:kern w:val="0"/>
          <w14:ligatures w14:val="none"/>
        </w:rPr>
      </w:pPr>
      <w:r w:rsidRPr="003B0CDF">
        <w:rPr>
          <w:rFonts w:ascii="Arial" w:eastAsia="Times New Roman" w:hAnsi="Arial" w:cs="Arial"/>
          <w:kern w:val="0"/>
          <w14:ligatures w14:val="none"/>
        </w:rPr>
        <w:t xml:space="preserve">IEPGBA. (2022). </w:t>
      </w:r>
      <w:r w:rsidRPr="003B0CDF">
        <w:rPr>
          <w:rFonts w:ascii="Arial" w:eastAsia="Times New Roman" w:hAnsi="Arial" w:cs="Arial"/>
          <w:i/>
          <w:iCs/>
          <w:kern w:val="0"/>
          <w14:ligatures w14:val="none"/>
        </w:rPr>
        <w:t>La población migrante en la Provincia de Buenos Aires</w:t>
      </w:r>
      <w:r w:rsidRPr="003B0CDF">
        <w:rPr>
          <w:rFonts w:ascii="Arial" w:eastAsia="Times New Roman" w:hAnsi="Arial" w:cs="Arial"/>
          <w:kern w:val="0"/>
          <w14:ligatures w14:val="none"/>
        </w:rPr>
        <w:t>. Instituto de Estadística de la Provincia de Buenos Aires.</w:t>
      </w:r>
    </w:p>
    <w:p w14:paraId="505682C6" w14:textId="77777777" w:rsidR="003B0CDF" w:rsidRPr="003B0CDF" w:rsidRDefault="003B0CDF" w:rsidP="003B0CDF">
      <w:pPr>
        <w:spacing w:before="100" w:beforeAutospacing="1" w:after="100" w:afterAutospacing="1" w:line="360" w:lineRule="auto"/>
        <w:ind w:left="720" w:hanging="720"/>
        <w:jc w:val="both"/>
        <w:rPr>
          <w:rFonts w:ascii="Arial" w:eastAsia="Times New Roman" w:hAnsi="Arial" w:cs="Arial"/>
          <w:kern w:val="0"/>
          <w14:ligatures w14:val="none"/>
        </w:rPr>
      </w:pPr>
      <w:r w:rsidRPr="003B0CDF">
        <w:rPr>
          <w:rFonts w:ascii="Arial" w:eastAsia="Times New Roman" w:hAnsi="Arial" w:cs="Arial"/>
          <w:kern w:val="0"/>
          <w14:ligatures w14:val="none"/>
        </w:rPr>
        <w:t xml:space="preserve">INDEC. (2023). </w:t>
      </w:r>
      <w:r w:rsidRPr="003B0CDF">
        <w:rPr>
          <w:rFonts w:ascii="Arial" w:eastAsia="Times New Roman" w:hAnsi="Arial" w:cs="Arial"/>
          <w:i/>
          <w:iCs/>
          <w:kern w:val="0"/>
          <w14:ligatures w14:val="none"/>
        </w:rPr>
        <w:t>Censo Nacional de Población, Hogares y Viviendas 2022: Resultados definitivos sobre migraciones internas e internacionales</w:t>
      </w:r>
      <w:r w:rsidRPr="003B0CDF">
        <w:rPr>
          <w:rFonts w:ascii="Arial" w:eastAsia="Times New Roman" w:hAnsi="Arial" w:cs="Arial"/>
          <w:kern w:val="0"/>
          <w14:ligatures w14:val="none"/>
        </w:rPr>
        <w:t>. Instituto Nacional de Estadística y Censos.</w:t>
      </w:r>
    </w:p>
    <w:p w14:paraId="21E3B462" w14:textId="77777777" w:rsidR="003B0CDF" w:rsidRPr="003B0CDF" w:rsidRDefault="003B0CDF" w:rsidP="003B0CDF">
      <w:pPr>
        <w:spacing w:before="100" w:beforeAutospacing="1" w:after="100" w:afterAutospacing="1" w:line="360" w:lineRule="auto"/>
        <w:ind w:left="720" w:hanging="720"/>
        <w:jc w:val="both"/>
        <w:rPr>
          <w:rFonts w:ascii="Arial" w:eastAsia="Times New Roman" w:hAnsi="Arial" w:cs="Arial"/>
          <w:kern w:val="0"/>
          <w14:ligatures w14:val="none"/>
        </w:rPr>
      </w:pPr>
      <w:r w:rsidRPr="003B0CDF">
        <w:rPr>
          <w:rFonts w:ascii="Arial" w:eastAsia="Times New Roman" w:hAnsi="Arial" w:cs="Arial"/>
          <w:kern w:val="0"/>
          <w14:ligatures w14:val="none"/>
        </w:rPr>
        <w:t xml:space="preserve">Infobae. (2026, enero 3). Mercado laboral 2026: Tendencias que empiezan a redefinir el trabajo en Argentina. </w:t>
      </w:r>
      <w:r w:rsidRPr="003B0CDF">
        <w:rPr>
          <w:rFonts w:ascii="Arial" w:eastAsia="Times New Roman" w:hAnsi="Arial" w:cs="Arial"/>
          <w:i/>
          <w:iCs/>
          <w:kern w:val="0"/>
          <w14:ligatures w14:val="none"/>
        </w:rPr>
        <w:t>Infobae</w:t>
      </w:r>
      <w:r w:rsidRPr="003B0CDF">
        <w:rPr>
          <w:rFonts w:ascii="Arial" w:eastAsia="Times New Roman" w:hAnsi="Arial" w:cs="Arial"/>
          <w:kern w:val="0"/>
          <w14:ligatures w14:val="none"/>
        </w:rPr>
        <w:t>.</w:t>
      </w:r>
    </w:p>
    <w:p w14:paraId="378BCDE6" w14:textId="77777777" w:rsidR="003B0CDF" w:rsidRPr="003B0CDF" w:rsidRDefault="003B0CDF" w:rsidP="003B0CDF">
      <w:pPr>
        <w:spacing w:before="100" w:beforeAutospacing="1" w:after="100" w:afterAutospacing="1" w:line="360" w:lineRule="auto"/>
        <w:ind w:left="720" w:hanging="720"/>
        <w:jc w:val="both"/>
        <w:rPr>
          <w:rFonts w:ascii="Arial" w:eastAsia="Times New Roman" w:hAnsi="Arial" w:cs="Arial"/>
          <w:kern w:val="0"/>
          <w14:ligatures w14:val="none"/>
        </w:rPr>
      </w:pPr>
      <w:r w:rsidRPr="003B0CDF">
        <w:rPr>
          <w:rFonts w:ascii="Arial" w:eastAsia="Times New Roman" w:hAnsi="Arial" w:cs="Arial"/>
          <w:kern w:val="0"/>
          <w14:ligatures w14:val="none"/>
        </w:rPr>
        <w:t xml:space="preserve">La Nación. (2026, enero 31). Empleo 2026: Los desafíos del trabajo formal en una economía que se comporta de manera dispar. </w:t>
      </w:r>
      <w:r w:rsidRPr="003B0CDF">
        <w:rPr>
          <w:rFonts w:ascii="Arial" w:eastAsia="Times New Roman" w:hAnsi="Arial" w:cs="Arial"/>
          <w:i/>
          <w:iCs/>
          <w:kern w:val="0"/>
          <w14:ligatures w14:val="none"/>
        </w:rPr>
        <w:t>La Nación</w:t>
      </w:r>
      <w:r w:rsidRPr="003B0CDF">
        <w:rPr>
          <w:rFonts w:ascii="Arial" w:eastAsia="Times New Roman" w:hAnsi="Arial" w:cs="Arial"/>
          <w:kern w:val="0"/>
          <w14:ligatures w14:val="none"/>
        </w:rPr>
        <w:t>.</w:t>
      </w:r>
    </w:p>
    <w:p w14:paraId="0966B02C" w14:textId="77777777" w:rsidR="003B0CDF" w:rsidRPr="003B0CDF" w:rsidRDefault="003B0CDF" w:rsidP="003B0CDF">
      <w:pPr>
        <w:spacing w:before="100" w:beforeAutospacing="1" w:after="100" w:afterAutospacing="1" w:line="360" w:lineRule="auto"/>
        <w:ind w:left="720" w:hanging="720"/>
        <w:jc w:val="both"/>
        <w:rPr>
          <w:rFonts w:ascii="Arial" w:eastAsia="Times New Roman" w:hAnsi="Arial" w:cs="Arial"/>
          <w:kern w:val="0"/>
          <w14:ligatures w14:val="none"/>
        </w:rPr>
      </w:pPr>
      <w:r w:rsidRPr="003B0CDF">
        <w:rPr>
          <w:rFonts w:ascii="Arial" w:eastAsia="Times New Roman" w:hAnsi="Arial" w:cs="Arial"/>
          <w:kern w:val="0"/>
          <w14:ligatures w14:val="none"/>
        </w:rPr>
        <w:t xml:space="preserve">MTEySS. (2025). </w:t>
      </w:r>
      <w:r w:rsidRPr="003B0CDF">
        <w:rPr>
          <w:rFonts w:ascii="Arial" w:eastAsia="Times New Roman" w:hAnsi="Arial" w:cs="Arial"/>
          <w:i/>
          <w:iCs/>
          <w:kern w:val="0"/>
          <w14:ligatures w14:val="none"/>
        </w:rPr>
        <w:t>Situación y evolución del trabajo registrado – Informe mensual, enero y marzo 2025</w:t>
      </w:r>
      <w:r w:rsidRPr="003B0CDF">
        <w:rPr>
          <w:rFonts w:ascii="Arial" w:eastAsia="Times New Roman" w:hAnsi="Arial" w:cs="Arial"/>
          <w:kern w:val="0"/>
          <w14:ligatures w14:val="none"/>
        </w:rPr>
        <w:t>. Ministerio de Trabajo, Empleo y Seguridad Social. Sistema Integrado Previsional Argentino.</w:t>
      </w:r>
    </w:p>
    <w:p w14:paraId="438143A1" w14:textId="77777777" w:rsidR="003B0CDF" w:rsidRPr="003B0CDF" w:rsidRDefault="003B0CDF" w:rsidP="003B0CDF">
      <w:pPr>
        <w:spacing w:before="100" w:beforeAutospacing="1" w:after="100" w:afterAutospacing="1" w:line="360" w:lineRule="auto"/>
        <w:ind w:left="720" w:hanging="720"/>
        <w:jc w:val="both"/>
        <w:rPr>
          <w:rFonts w:ascii="Arial" w:eastAsia="Times New Roman" w:hAnsi="Arial" w:cs="Arial"/>
          <w:kern w:val="0"/>
          <w14:ligatures w14:val="none"/>
        </w:rPr>
      </w:pPr>
      <w:r w:rsidRPr="003B0CDF">
        <w:rPr>
          <w:rFonts w:ascii="Arial" w:eastAsia="Times New Roman" w:hAnsi="Arial" w:cs="Arial"/>
          <w:kern w:val="0"/>
          <w14:ligatures w14:val="none"/>
        </w:rPr>
        <w:t xml:space="preserve">MTEySS. (2026). </w:t>
      </w:r>
      <w:r w:rsidRPr="003B0CDF">
        <w:rPr>
          <w:rFonts w:ascii="Arial" w:eastAsia="Times New Roman" w:hAnsi="Arial" w:cs="Arial"/>
          <w:i/>
          <w:iCs/>
          <w:kern w:val="0"/>
          <w14:ligatures w14:val="none"/>
        </w:rPr>
        <w:t>Situación y evolución del trabajo registrado – Informe mensual, enero 2026</w:t>
      </w:r>
      <w:r w:rsidRPr="003B0CDF">
        <w:rPr>
          <w:rFonts w:ascii="Arial" w:eastAsia="Times New Roman" w:hAnsi="Arial" w:cs="Arial"/>
          <w:kern w:val="0"/>
          <w14:ligatures w14:val="none"/>
        </w:rPr>
        <w:t>. Ministerio de Trabajo, Empleo y Seguridad Social. Sistema Integrado Previsional Argentino.</w:t>
      </w:r>
    </w:p>
    <w:p w14:paraId="510C4171" w14:textId="77777777" w:rsidR="003B0CDF" w:rsidRPr="003B0CDF" w:rsidRDefault="003B0CDF" w:rsidP="003B0CDF">
      <w:pPr>
        <w:spacing w:before="100" w:beforeAutospacing="1" w:after="100" w:afterAutospacing="1" w:line="360" w:lineRule="auto"/>
        <w:ind w:left="720" w:hanging="720"/>
        <w:jc w:val="both"/>
        <w:rPr>
          <w:rFonts w:ascii="Arial" w:eastAsia="Times New Roman" w:hAnsi="Arial" w:cs="Arial"/>
          <w:kern w:val="0"/>
          <w14:ligatures w14:val="none"/>
        </w:rPr>
      </w:pPr>
      <w:r w:rsidRPr="003B0CDF">
        <w:rPr>
          <w:rFonts w:ascii="Arial" w:eastAsia="Times New Roman" w:hAnsi="Arial" w:cs="Arial"/>
          <w:kern w:val="0"/>
          <w14:ligatures w14:val="none"/>
        </w:rPr>
        <w:t xml:space="preserve">OIM. (2022). </w:t>
      </w:r>
      <w:r w:rsidRPr="003B0CDF">
        <w:rPr>
          <w:rFonts w:ascii="Arial" w:eastAsia="Times New Roman" w:hAnsi="Arial" w:cs="Arial"/>
          <w:i/>
          <w:iCs/>
          <w:kern w:val="0"/>
          <w14:ligatures w14:val="none"/>
        </w:rPr>
        <w:t>Condiciones de vida y situación laboral de las personas migrantes en la República Argentina</w:t>
      </w:r>
      <w:r w:rsidRPr="003B0CDF">
        <w:rPr>
          <w:rFonts w:ascii="Arial" w:eastAsia="Times New Roman" w:hAnsi="Arial" w:cs="Arial"/>
          <w:kern w:val="0"/>
          <w14:ligatures w14:val="none"/>
        </w:rPr>
        <w:t>. Organización Internacional para las Migraciones, Oficina Argentina.</w:t>
      </w:r>
    </w:p>
    <w:p w14:paraId="5E37709A" w14:textId="77777777" w:rsidR="003B0CDF" w:rsidRPr="003B0CDF" w:rsidRDefault="003B0CDF" w:rsidP="003B0CDF">
      <w:pPr>
        <w:spacing w:before="100" w:beforeAutospacing="1" w:after="100" w:afterAutospacing="1" w:line="360" w:lineRule="auto"/>
        <w:ind w:left="720" w:hanging="720"/>
        <w:jc w:val="both"/>
        <w:rPr>
          <w:rFonts w:ascii="Arial" w:eastAsia="Times New Roman" w:hAnsi="Arial" w:cs="Arial"/>
          <w:kern w:val="0"/>
          <w14:ligatures w14:val="none"/>
        </w:rPr>
      </w:pPr>
      <w:r w:rsidRPr="003B0CDF">
        <w:rPr>
          <w:rFonts w:ascii="Arial" w:eastAsia="Times New Roman" w:hAnsi="Arial" w:cs="Arial"/>
          <w:kern w:val="0"/>
          <w14:ligatures w14:val="none"/>
        </w:rPr>
        <w:t xml:space="preserve">OIT &amp; OIM. (2024). </w:t>
      </w:r>
      <w:r w:rsidRPr="003B0CDF">
        <w:rPr>
          <w:rFonts w:ascii="Arial" w:eastAsia="Times New Roman" w:hAnsi="Arial" w:cs="Arial"/>
          <w:i/>
          <w:iCs/>
          <w:kern w:val="0"/>
          <w14:ligatures w14:val="none"/>
        </w:rPr>
        <w:t>Aportes de la población migrante al mercado laboral argentino</w:t>
      </w:r>
      <w:r w:rsidRPr="003B0CDF">
        <w:rPr>
          <w:rFonts w:ascii="Arial" w:eastAsia="Times New Roman" w:hAnsi="Arial" w:cs="Arial"/>
          <w:kern w:val="0"/>
          <w14:ligatures w14:val="none"/>
        </w:rPr>
        <w:t>. Organización Internacional del Trabajo &amp; Organización Internacional para las Migraciones.</w:t>
      </w:r>
    </w:p>
    <w:p w14:paraId="0FE7BB02" w14:textId="77777777" w:rsidR="003B0CDF" w:rsidRPr="003B0CDF" w:rsidRDefault="003B0CDF" w:rsidP="003B0CDF">
      <w:pPr>
        <w:spacing w:before="100" w:beforeAutospacing="1" w:after="100" w:afterAutospacing="1" w:line="360" w:lineRule="auto"/>
        <w:ind w:left="720" w:hanging="720"/>
        <w:jc w:val="both"/>
        <w:rPr>
          <w:rFonts w:ascii="Arial" w:eastAsia="Times New Roman" w:hAnsi="Arial" w:cs="Arial"/>
          <w:kern w:val="0"/>
          <w14:ligatures w14:val="none"/>
        </w:rPr>
      </w:pPr>
      <w:r w:rsidRPr="003B0CDF">
        <w:rPr>
          <w:rFonts w:ascii="Arial" w:eastAsia="Times New Roman" w:hAnsi="Arial" w:cs="Arial"/>
          <w:kern w:val="0"/>
          <w14:ligatures w14:val="none"/>
        </w:rPr>
        <w:lastRenderedPageBreak/>
        <w:t xml:space="preserve">Redic. (2024). Personas migrantes, ciudadanía y participación política. </w:t>
      </w:r>
      <w:r w:rsidRPr="003B0CDF">
        <w:rPr>
          <w:rFonts w:ascii="Arial" w:eastAsia="Times New Roman" w:hAnsi="Arial" w:cs="Arial"/>
          <w:i/>
          <w:iCs/>
          <w:kern w:val="0"/>
          <w14:ligatures w14:val="none"/>
        </w:rPr>
        <w:t>Revista Redic</w:t>
      </w:r>
      <w:r w:rsidRPr="003B0CDF">
        <w:rPr>
          <w:rFonts w:ascii="Arial" w:eastAsia="Times New Roman" w:hAnsi="Arial" w:cs="Arial"/>
          <w:kern w:val="0"/>
          <w14:ligatures w14:val="none"/>
        </w:rPr>
        <w:t>, 5(2), 45–68.</w:t>
      </w:r>
    </w:p>
    <w:p w14:paraId="47FE0741" w14:textId="77777777" w:rsidR="003B0CDF" w:rsidRPr="003B0CDF" w:rsidRDefault="003B0CDF" w:rsidP="003B0CDF">
      <w:pPr>
        <w:spacing w:before="100" w:beforeAutospacing="1" w:after="100" w:afterAutospacing="1" w:line="360" w:lineRule="auto"/>
        <w:ind w:left="720" w:hanging="720"/>
        <w:jc w:val="both"/>
        <w:rPr>
          <w:rFonts w:ascii="Arial" w:eastAsia="Times New Roman" w:hAnsi="Arial" w:cs="Arial"/>
          <w:kern w:val="0"/>
          <w14:ligatures w14:val="none"/>
        </w:rPr>
      </w:pPr>
      <w:r w:rsidRPr="003B0CDF">
        <w:rPr>
          <w:rFonts w:ascii="Arial" w:eastAsia="Times New Roman" w:hAnsi="Arial" w:cs="Arial"/>
          <w:kern w:val="0"/>
          <w14:ligatures w14:val="none"/>
        </w:rPr>
        <w:t xml:space="preserve">Refugio Latinoamericano. (2024, diciembre 10). La migración desde lo colectivo: Mapeo de organizaciones en Argentina. </w:t>
      </w:r>
      <w:r w:rsidRPr="003B0CDF">
        <w:rPr>
          <w:rFonts w:ascii="Arial" w:eastAsia="Times New Roman" w:hAnsi="Arial" w:cs="Arial"/>
          <w:i/>
          <w:iCs/>
          <w:kern w:val="0"/>
          <w14:ligatures w14:val="none"/>
        </w:rPr>
        <w:t>Refugio Latinoamericano</w:t>
      </w:r>
      <w:r w:rsidRPr="003B0CDF">
        <w:rPr>
          <w:rFonts w:ascii="Arial" w:eastAsia="Times New Roman" w:hAnsi="Arial" w:cs="Arial"/>
          <w:kern w:val="0"/>
          <w14:ligatures w14:val="none"/>
        </w:rPr>
        <w:t>.</w:t>
      </w:r>
    </w:p>
    <w:p w14:paraId="7769260C" w14:textId="77777777" w:rsidR="003B0CDF" w:rsidRPr="003B0CDF" w:rsidRDefault="003B0CDF" w:rsidP="003B0CDF">
      <w:pPr>
        <w:spacing w:before="100" w:beforeAutospacing="1" w:after="100" w:afterAutospacing="1" w:line="360" w:lineRule="auto"/>
        <w:ind w:left="720" w:hanging="720"/>
        <w:jc w:val="both"/>
        <w:rPr>
          <w:rFonts w:ascii="Arial" w:eastAsia="Times New Roman" w:hAnsi="Arial" w:cs="Arial"/>
          <w:kern w:val="0"/>
          <w14:ligatures w14:val="none"/>
        </w:rPr>
      </w:pPr>
      <w:r w:rsidRPr="003B0CDF">
        <w:rPr>
          <w:rFonts w:ascii="Arial" w:eastAsia="Times New Roman" w:hAnsi="Arial" w:cs="Arial"/>
          <w:kern w:val="0"/>
          <w14:ligatures w14:val="none"/>
        </w:rPr>
        <w:t xml:space="preserve">Revista Jurídica del Trabajo. (s. f.). Libertad sindical para los trabajadores migrantes: Un derecho fundamental. </w:t>
      </w:r>
      <w:r w:rsidRPr="003B0CDF">
        <w:rPr>
          <w:rFonts w:ascii="Arial" w:eastAsia="Times New Roman" w:hAnsi="Arial" w:cs="Arial"/>
          <w:i/>
          <w:iCs/>
          <w:kern w:val="0"/>
          <w14:ligatures w14:val="none"/>
        </w:rPr>
        <w:t>Revista Jurídica del Trabajo</w:t>
      </w:r>
      <w:r w:rsidRPr="003B0CDF">
        <w:rPr>
          <w:rFonts w:ascii="Arial" w:eastAsia="Times New Roman" w:hAnsi="Arial" w:cs="Arial"/>
          <w:kern w:val="0"/>
          <w14:ligatures w14:val="none"/>
        </w:rPr>
        <w:t>.</w:t>
      </w:r>
    </w:p>
    <w:p w14:paraId="17E5879C" w14:textId="77777777" w:rsidR="003B0CDF" w:rsidRPr="003B0CDF" w:rsidRDefault="003B0CDF" w:rsidP="003B0CDF">
      <w:pPr>
        <w:spacing w:before="100" w:beforeAutospacing="1" w:after="100" w:afterAutospacing="1" w:line="360" w:lineRule="auto"/>
        <w:ind w:left="720" w:hanging="720"/>
        <w:jc w:val="both"/>
        <w:rPr>
          <w:rFonts w:ascii="Arial" w:eastAsia="Times New Roman" w:hAnsi="Arial" w:cs="Arial"/>
          <w:kern w:val="0"/>
          <w14:ligatures w14:val="none"/>
        </w:rPr>
      </w:pPr>
      <w:r w:rsidRPr="003B0CDF">
        <w:rPr>
          <w:rFonts w:ascii="Arial" w:eastAsia="Times New Roman" w:hAnsi="Arial" w:cs="Arial"/>
          <w:kern w:val="0"/>
          <w14:ligatures w14:val="none"/>
        </w:rPr>
        <w:t xml:space="preserve">Scielo México. (2010). Migración y participación política. Estados, organizaciones y diásporas. </w:t>
      </w:r>
      <w:r w:rsidRPr="003B0CDF">
        <w:rPr>
          <w:rFonts w:ascii="Arial" w:eastAsia="Times New Roman" w:hAnsi="Arial" w:cs="Arial"/>
          <w:i/>
          <w:iCs/>
          <w:kern w:val="0"/>
          <w14:ligatures w14:val="none"/>
        </w:rPr>
        <w:t>Revista Mexicana de Ciencias Políticas y Sociales, 52</w:t>
      </w:r>
      <w:r w:rsidRPr="003B0CDF">
        <w:rPr>
          <w:rFonts w:ascii="Arial" w:eastAsia="Times New Roman" w:hAnsi="Arial" w:cs="Arial"/>
          <w:kern w:val="0"/>
          <w14:ligatures w14:val="none"/>
        </w:rPr>
        <w:t>(211), 61–90.</w:t>
      </w:r>
    </w:p>
    <w:p w14:paraId="00EA0E54" w14:textId="77777777" w:rsidR="00F6020B" w:rsidRDefault="00F6020B"/>
    <w:sectPr w:rsidR="00F6020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CDF"/>
    <w:rsid w:val="00036B1D"/>
    <w:rsid w:val="000908E2"/>
    <w:rsid w:val="00184C29"/>
    <w:rsid w:val="00233F9D"/>
    <w:rsid w:val="002F4FE4"/>
    <w:rsid w:val="003A3919"/>
    <w:rsid w:val="003B0CDF"/>
    <w:rsid w:val="004661D5"/>
    <w:rsid w:val="00750D18"/>
    <w:rsid w:val="00A36549"/>
    <w:rsid w:val="00AD092A"/>
    <w:rsid w:val="00B905B0"/>
    <w:rsid w:val="00CC7138"/>
    <w:rsid w:val="00DC677A"/>
    <w:rsid w:val="00E54B3E"/>
    <w:rsid w:val="00F6020B"/>
    <w:rsid w:val="00F924C8"/>
  </w:rsids>
  <m:mathPr>
    <m:mathFont m:val="Cambria Math"/>
    <m:brkBin m:val="before"/>
    <m:brkBinSub m:val="--"/>
    <m:smallFrac m:val="0"/>
    <m:dispDef/>
    <m:lMargin m:val="0"/>
    <m:rMargin m:val="0"/>
    <m:defJc m:val="centerGroup"/>
    <m:wrapIndent m:val="1440"/>
    <m:intLim m:val="subSup"/>
    <m:naryLim m:val="undOvr"/>
  </m:mathPr>
  <w:themeFontLang w:val="es-A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4BCA20"/>
  <w15:chartTrackingRefBased/>
  <w15:docId w15:val="{9123212B-38B3-4874-8F88-99FD903F4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AR"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3B0C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3B0C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3B0CDF"/>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3B0CD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3B0CD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3B0CD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B0CD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B0CD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B0CDF"/>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B0CDF"/>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3B0CDF"/>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3B0CDF"/>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3B0CDF"/>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3B0CDF"/>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3B0CD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B0CD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B0CD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B0CDF"/>
    <w:rPr>
      <w:rFonts w:eastAsiaTheme="majorEastAsia" w:cstheme="majorBidi"/>
      <w:color w:val="272727" w:themeColor="text1" w:themeTint="D8"/>
    </w:rPr>
  </w:style>
  <w:style w:type="paragraph" w:styleId="Ttulo">
    <w:name w:val="Title"/>
    <w:basedOn w:val="Normal"/>
    <w:next w:val="Normal"/>
    <w:link w:val="TtuloCar"/>
    <w:uiPriority w:val="10"/>
    <w:qFormat/>
    <w:rsid w:val="003B0C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B0CD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B0CD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B0CD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B0CDF"/>
    <w:pPr>
      <w:spacing w:before="160"/>
      <w:jc w:val="center"/>
    </w:pPr>
    <w:rPr>
      <w:i/>
      <w:iCs/>
      <w:color w:val="404040" w:themeColor="text1" w:themeTint="BF"/>
    </w:rPr>
  </w:style>
  <w:style w:type="character" w:customStyle="1" w:styleId="CitaCar">
    <w:name w:val="Cita Car"/>
    <w:basedOn w:val="Fuentedeprrafopredeter"/>
    <w:link w:val="Cita"/>
    <w:uiPriority w:val="29"/>
    <w:rsid w:val="003B0CDF"/>
    <w:rPr>
      <w:i/>
      <w:iCs/>
      <w:color w:val="404040" w:themeColor="text1" w:themeTint="BF"/>
    </w:rPr>
  </w:style>
  <w:style w:type="paragraph" w:styleId="Prrafodelista">
    <w:name w:val="List Paragraph"/>
    <w:basedOn w:val="Normal"/>
    <w:uiPriority w:val="34"/>
    <w:qFormat/>
    <w:rsid w:val="003B0CDF"/>
    <w:pPr>
      <w:ind w:left="720"/>
      <w:contextualSpacing/>
    </w:pPr>
  </w:style>
  <w:style w:type="character" w:styleId="nfasisintenso">
    <w:name w:val="Intense Emphasis"/>
    <w:basedOn w:val="Fuentedeprrafopredeter"/>
    <w:uiPriority w:val="21"/>
    <w:qFormat/>
    <w:rsid w:val="003B0CDF"/>
    <w:rPr>
      <w:i/>
      <w:iCs/>
      <w:color w:val="0F4761" w:themeColor="accent1" w:themeShade="BF"/>
    </w:rPr>
  </w:style>
  <w:style w:type="paragraph" w:styleId="Citadestacada">
    <w:name w:val="Intense Quote"/>
    <w:basedOn w:val="Normal"/>
    <w:next w:val="Normal"/>
    <w:link w:val="CitadestacadaCar"/>
    <w:uiPriority w:val="30"/>
    <w:qFormat/>
    <w:rsid w:val="003B0C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3B0CDF"/>
    <w:rPr>
      <w:i/>
      <w:iCs/>
      <w:color w:val="0F4761" w:themeColor="accent1" w:themeShade="BF"/>
    </w:rPr>
  </w:style>
  <w:style w:type="character" w:styleId="Referenciaintensa">
    <w:name w:val="Intense Reference"/>
    <w:basedOn w:val="Fuentedeprrafopredeter"/>
    <w:uiPriority w:val="32"/>
    <w:qFormat/>
    <w:rsid w:val="003B0CD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8</Pages>
  <Words>2418</Words>
  <Characters>13304</Characters>
  <Application>Microsoft Office Word</Application>
  <DocSecurity>0</DocSecurity>
  <Lines>110</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Carlos Portilla</dc:creator>
  <cp:keywords/>
  <dc:description/>
  <cp:lastModifiedBy>Juan Carlos Portilla</cp:lastModifiedBy>
  <cp:revision>1</cp:revision>
  <dcterms:created xsi:type="dcterms:W3CDTF">2026-07-24T02:01:00Z</dcterms:created>
  <dcterms:modified xsi:type="dcterms:W3CDTF">2026-07-24T02:12:00Z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99ccbf4c-3a60-472c-8a64-89f589e425ba</vt:lpwstr>
  </property>
</Properties>
</file>